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3334394B" w14:textId="77777777" w:rsidTr="0016492A">
        <w:tc>
          <w:tcPr>
            <w:tcW w:w="5070" w:type="dxa"/>
          </w:tcPr>
          <w:p w14:paraId="4A50A35E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12983048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5A7262">
              <w:rPr>
                <w:rFonts w:cs="Calibri"/>
                <w:sz w:val="24"/>
                <w:szCs w:val="24"/>
              </w:rPr>
              <w:t>На № 20/1 от 01.02.2024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7380F98B" w14:textId="77777777" w:rsidR="002D6E2B" w:rsidRPr="007B4FE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3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5A7262">
              <w:rPr>
                <w:rFonts w:cs="Calibri"/>
                <w:sz w:val="24"/>
                <w:szCs w:val="24"/>
              </w:rPr>
              <w:t>ООО "УК ЗЕНИТ-СЕРВИС"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35F23CF6" w14:textId="77777777" w:rsidR="002D6E2B" w:rsidRPr="00DC2539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4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5A7262">
              <w:rPr>
                <w:rFonts w:cs="Calibri"/>
                <w:sz w:val="24"/>
                <w:szCs w:val="24"/>
              </w:rPr>
              <w:t>Директору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29197FC3" w14:textId="77777777" w:rsidR="00126758" w:rsidRPr="00DC2539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5" w:name="ФИО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5A7262">
              <w:rPr>
                <w:rFonts w:cs="Calibri"/>
                <w:sz w:val="24"/>
                <w:szCs w:val="24"/>
              </w:rPr>
              <w:t>Савченко М.Н.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52471FE0" w14:textId="77777777" w:rsidR="00126758" w:rsidRPr="00DC2539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D9EAB85" w14:textId="77777777" w:rsid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6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5A7262">
              <w:rPr>
                <w:rFonts w:cs="Calibri"/>
                <w:sz w:val="24"/>
                <w:szCs w:val="24"/>
              </w:rPr>
              <w:t>yk-zenit.vlg@mail.ru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  <w:p w14:paraId="1B26CA50" w14:textId="77777777" w:rsidR="00DC2539" w:rsidRDefault="00DC2539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A2C0CFF" w14:textId="77777777" w:rsidR="00DC2539" w:rsidRDefault="00DC2539" w:rsidP="00DC2539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Чулочниковой Н.М. </w:t>
            </w:r>
          </w:p>
          <w:p w14:paraId="46FB5360" w14:textId="77777777" w:rsidR="00DC2539" w:rsidRDefault="00DC2539" w:rsidP="00DC2539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ул.  Расула Гамзатова, д. 21, кв. 217,</w:t>
            </w:r>
          </w:p>
          <w:p w14:paraId="32BA6151" w14:textId="77777777" w:rsidR="00DC2539" w:rsidRPr="00DC2539" w:rsidRDefault="00DC2539" w:rsidP="00DC2539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Волгоград, </w:t>
            </w:r>
            <w:r w:rsidRPr="00DC2539">
              <w:rPr>
                <w:rFonts w:cs="Calibri"/>
                <w:sz w:val="24"/>
                <w:szCs w:val="24"/>
              </w:rPr>
              <w:t>400137</w:t>
            </w:r>
          </w:p>
        </w:tc>
      </w:tr>
    </w:tbl>
    <w:p w14:paraId="7586B60E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C031FAF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EE36C4B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65BE4C6A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086702C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08A36E1" w14:textId="77777777" w:rsidR="002D6E2B" w:rsidRPr="00DC2539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7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5A7262">
        <w:rPr>
          <w:rFonts w:cs="Calibri"/>
          <w:sz w:val="24"/>
          <w:szCs w:val="24"/>
        </w:rPr>
        <w:t>Уважаемый Михаил Николаевич</w:t>
      </w:r>
      <w:r>
        <w:rPr>
          <w:rFonts w:cs="Calibri"/>
          <w:sz w:val="24"/>
          <w:szCs w:val="24"/>
        </w:rPr>
        <w:fldChar w:fldCharType="end"/>
      </w:r>
      <w:bookmarkEnd w:id="7"/>
      <w:r w:rsidR="003B3356" w:rsidRPr="00DC2539">
        <w:rPr>
          <w:rFonts w:cs="Calibri"/>
          <w:sz w:val="24"/>
          <w:szCs w:val="24"/>
        </w:rPr>
        <w:t>!</w:t>
      </w:r>
    </w:p>
    <w:p w14:paraId="616828FB" w14:textId="77777777" w:rsidR="002D6E2B" w:rsidRPr="007B4FE8" w:rsidRDefault="002D6E2B" w:rsidP="00DC2539">
      <w:pPr>
        <w:tabs>
          <w:tab w:val="left" w:pos="3828"/>
        </w:tabs>
        <w:spacing w:line="240" w:lineRule="auto"/>
        <w:jc w:val="both"/>
        <w:rPr>
          <w:rFonts w:cs="Calibri"/>
          <w:sz w:val="24"/>
          <w:szCs w:val="24"/>
        </w:rPr>
      </w:pPr>
    </w:p>
    <w:p w14:paraId="73F91DD1" w14:textId="77777777" w:rsidR="00DC2539" w:rsidRPr="00DC2539" w:rsidRDefault="00DC2539" w:rsidP="00DC2539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>Ответ на Ваше обращение подготовлен АО «ИВЦ ЖКХ и ТЭК» на основании поручения ООО «Концессии теплоснабжения», в рамках заключенного агентского договора.</w:t>
      </w:r>
    </w:p>
    <w:p w14:paraId="36F9C5B3" w14:textId="77777777" w:rsidR="00DC2539" w:rsidRPr="00DC2539" w:rsidRDefault="00DC2539" w:rsidP="00DC2539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>Рассмотрев письмо № 4891/24 от 05.02.24 о заключении с собственниками помещений в многоквартирном доме по адресу: г. Волгоград, ул. им. Расула Гамзатова, 21</w:t>
      </w:r>
      <w:r>
        <w:rPr>
          <w:rFonts w:cs="Calibri"/>
          <w:sz w:val="24"/>
          <w:szCs w:val="24"/>
        </w:rPr>
        <w:t xml:space="preserve"> </w:t>
      </w:r>
      <w:r w:rsidRPr="00DC2539">
        <w:rPr>
          <w:rFonts w:cs="Calibri"/>
          <w:sz w:val="24"/>
          <w:szCs w:val="24"/>
        </w:rPr>
        <w:t>прямого договора теплоснабжения, содержащего положения о предоставлении коммунальных услуг отопления и горячего водоснабжения, а также о заключении собственниками помещений в многоквартирном доме договора холодного водоснабжения с ООО «Концессии водоснабжения» в целях предоставления коммунального ресурса по холодному водоснабжению для приготовления горячей воды, сообщаем следующее.</w:t>
      </w:r>
    </w:p>
    <w:p w14:paraId="272237B9" w14:textId="77777777" w:rsidR="00DC2539" w:rsidRPr="00DC2539" w:rsidRDefault="00DC2539" w:rsidP="00DC2539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cs="Calibri"/>
          <w:sz w:val="24"/>
          <w:szCs w:val="24"/>
        </w:rPr>
        <w:t>05</w:t>
      </w:r>
      <w:r w:rsidRPr="00DC2539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02.2024</w:t>
      </w:r>
      <w:r w:rsidRPr="00DC2539">
        <w:rPr>
          <w:rFonts w:cs="Calibri"/>
          <w:sz w:val="24"/>
          <w:szCs w:val="24"/>
        </w:rPr>
        <w:t>.</w:t>
      </w:r>
    </w:p>
    <w:p w14:paraId="66C089EC" w14:textId="77777777" w:rsidR="00DC2539" w:rsidRPr="00DC2539" w:rsidRDefault="00DC2539" w:rsidP="00DC2539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  Однако, в силу п.1 ч. 7 ст. 157.2 ЖК РФ по решению ресурсоснабжающей организации вышеуказанный срок может быть перенесен, но не более чем на три календарных месяца. </w:t>
      </w:r>
    </w:p>
    <w:p w14:paraId="03781B26" w14:textId="77777777" w:rsidR="002D6E2B" w:rsidRPr="00DC2539" w:rsidRDefault="00DC2539" w:rsidP="00DC2539">
      <w:pPr>
        <w:tabs>
          <w:tab w:val="left" w:pos="3828"/>
        </w:tabs>
        <w:spacing w:line="240" w:lineRule="auto"/>
        <w:ind w:firstLine="709"/>
        <w:jc w:val="both"/>
        <w:rPr>
          <w:rFonts w:cs="Calibri"/>
          <w:b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На основании вышеизложенного, ООО «Концессии теплоснабжения» приступит к предоставлению коммунальных услуг по отоплению и горячему водоснабжению в многоквартирный дом, расположенный по адресу: Волгоград,                                                        ул. им. Расула Гамзатова, 21, с </w:t>
      </w:r>
      <w:r w:rsidRPr="00DC2539">
        <w:rPr>
          <w:rFonts w:cs="Calibri"/>
          <w:b/>
          <w:sz w:val="24"/>
          <w:szCs w:val="24"/>
        </w:rPr>
        <w:t>01.03.2024.</w:t>
      </w:r>
    </w:p>
    <w:p w14:paraId="31B6304F" w14:textId="77777777" w:rsidR="002D6E2B" w:rsidRPr="007B4FE8" w:rsidRDefault="002D6E2B" w:rsidP="002D6E2B">
      <w:pPr>
        <w:tabs>
          <w:tab w:val="left" w:pos="3828"/>
        </w:tabs>
        <w:spacing w:line="240" w:lineRule="auto"/>
        <w:ind w:left="1418"/>
        <w:rPr>
          <w:rFonts w:cs="Calibri"/>
          <w:sz w:val="24"/>
          <w:szCs w:val="24"/>
        </w:rPr>
      </w:pPr>
    </w:p>
    <w:p w14:paraId="356826AF" w14:textId="77777777" w:rsidR="00141220" w:rsidRPr="007B4FE8" w:rsidRDefault="00141220" w:rsidP="002D6E2B">
      <w:pPr>
        <w:tabs>
          <w:tab w:val="left" w:pos="3828"/>
        </w:tabs>
        <w:spacing w:line="240" w:lineRule="auto"/>
        <w:ind w:left="1418"/>
        <w:rPr>
          <w:rFonts w:cs="Calibri"/>
          <w:sz w:val="24"/>
          <w:szCs w:val="24"/>
        </w:rPr>
      </w:pPr>
    </w:p>
    <w:p w14:paraId="77A0D532" w14:textId="77777777" w:rsidR="003739DD" w:rsidRDefault="003739DD" w:rsidP="003739DD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  <w:sectPr w:rsidR="003739DD" w:rsidSect="00D155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701" w:header="1701" w:footer="709" w:gutter="0"/>
          <w:cols w:space="708"/>
          <w:formProt w:val="0"/>
          <w:titlePg/>
          <w:docGrid w:linePitch="360"/>
        </w:sectPr>
      </w:pPr>
    </w:p>
    <w:tbl>
      <w:tblPr>
        <w:tblpPr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3739DD" w:rsidRPr="003739DD" w14:paraId="12D15F00" w14:textId="77777777" w:rsidTr="00B663F1">
        <w:trPr>
          <w:trHeight w:val="1124"/>
        </w:trPr>
        <w:tc>
          <w:tcPr>
            <w:tcW w:w="33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FE642" w14:textId="77777777" w:rsidR="003739DD" w:rsidRPr="003739DD" w:rsidRDefault="003739DD" w:rsidP="003739DD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5364192" w14:textId="77777777" w:rsidR="006407EE" w:rsidRPr="006407EE" w:rsidRDefault="006407EE" w:rsidP="006407EE">
      <w:pPr>
        <w:rPr>
          <w:vanish/>
        </w:rPr>
      </w:pPr>
    </w:p>
    <w:p w14:paraId="0D7E24DB" w14:textId="77777777" w:rsidR="00E56C4C" w:rsidRPr="00E56C4C" w:rsidRDefault="00E56C4C" w:rsidP="00E56C4C">
      <w:pPr>
        <w:rPr>
          <w:vanish/>
        </w:rPr>
      </w:pPr>
    </w:p>
    <w:p w14:paraId="3B589C7B" w14:textId="77777777" w:rsidR="00E56C4C" w:rsidRPr="00E56C4C" w:rsidRDefault="00E56C4C" w:rsidP="00E56C4C">
      <w:pPr>
        <w:rPr>
          <w:vanish/>
        </w:rPr>
      </w:pPr>
    </w:p>
    <w:p w14:paraId="5177F9FE" w14:textId="77777777" w:rsidR="003739DD" w:rsidRPr="007B4FE8" w:rsidRDefault="003739DD" w:rsidP="003739DD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2BE60EA" w14:textId="77777777" w:rsidR="003739DD" w:rsidRPr="007B4FE8" w:rsidRDefault="003739DD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C98AA1A" w14:textId="77777777" w:rsidR="001B46A8" w:rsidRPr="001B46A8" w:rsidRDefault="001B46A8" w:rsidP="001B46A8">
      <w:pPr>
        <w:rPr>
          <w:vanish/>
        </w:rPr>
      </w:pPr>
    </w:p>
    <w:p w14:paraId="67C29105" w14:textId="77777777" w:rsidR="001B46A8" w:rsidRPr="001B46A8" w:rsidRDefault="001B46A8" w:rsidP="001B46A8">
      <w:pPr>
        <w:rPr>
          <w:vanish/>
        </w:rPr>
      </w:pPr>
    </w:p>
    <w:p w14:paraId="2E425B0A" w14:textId="77777777" w:rsidR="003D657A" w:rsidRPr="003D657A" w:rsidRDefault="003D657A" w:rsidP="003D657A">
      <w:pPr>
        <w:rPr>
          <w:vanish/>
        </w:rPr>
      </w:pPr>
    </w:p>
    <w:p w14:paraId="42AB4987" w14:textId="77777777" w:rsidR="002D6E2B" w:rsidRPr="007B4FE8" w:rsidRDefault="002D6E2B" w:rsidP="008504DB">
      <w:pPr>
        <w:tabs>
          <w:tab w:val="left" w:pos="3828"/>
        </w:tabs>
        <w:spacing w:line="240" w:lineRule="auto"/>
        <w:rPr>
          <w:rFonts w:cs="Calibri"/>
          <w:sz w:val="24"/>
          <w:szCs w:val="24"/>
          <w:lang w:val="en-US"/>
        </w:rPr>
      </w:pPr>
    </w:p>
    <w:sectPr w:rsidR="002D6E2B" w:rsidRPr="007B4FE8" w:rsidSect="00D155F5"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0434" w14:textId="77777777" w:rsidR="00A933D7" w:rsidRDefault="00A933D7" w:rsidP="00B210A3">
      <w:pPr>
        <w:spacing w:line="240" w:lineRule="auto"/>
      </w:pPr>
      <w:r>
        <w:separator/>
      </w:r>
    </w:p>
  </w:endnote>
  <w:endnote w:type="continuationSeparator" w:id="0">
    <w:p w14:paraId="3DBB7286" w14:textId="77777777" w:rsidR="00A933D7" w:rsidRDefault="00A933D7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2FA1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F5CF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2A79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81B7" w14:textId="77777777" w:rsidR="00A933D7" w:rsidRDefault="00A933D7" w:rsidP="00B210A3">
      <w:pPr>
        <w:spacing w:line="240" w:lineRule="auto"/>
      </w:pPr>
      <w:r>
        <w:separator/>
      </w:r>
    </w:p>
  </w:footnote>
  <w:footnote w:type="continuationSeparator" w:id="0">
    <w:p w14:paraId="38684A97" w14:textId="77777777" w:rsidR="00A933D7" w:rsidRDefault="00A933D7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AE36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2AFF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CC44" w14:textId="4026F03E" w:rsidR="002D3C69" w:rsidRPr="007B4FE8" w:rsidRDefault="0036034B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678B8A" wp14:editId="23E26AC6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2F876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0E92A3B6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2A9F2342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36185FE9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601A"/>
    <w:rsid w:val="00071D91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648C4"/>
    <w:rsid w:val="00280FE7"/>
    <w:rsid w:val="002C2EA0"/>
    <w:rsid w:val="002C5D65"/>
    <w:rsid w:val="002D3C69"/>
    <w:rsid w:val="002D4B44"/>
    <w:rsid w:val="002D6E2B"/>
    <w:rsid w:val="003568E5"/>
    <w:rsid w:val="0035695B"/>
    <w:rsid w:val="0036034B"/>
    <w:rsid w:val="003739DD"/>
    <w:rsid w:val="003831B4"/>
    <w:rsid w:val="00392624"/>
    <w:rsid w:val="003A167A"/>
    <w:rsid w:val="003B3356"/>
    <w:rsid w:val="003B5AA6"/>
    <w:rsid w:val="003D657A"/>
    <w:rsid w:val="003D731C"/>
    <w:rsid w:val="003E28AC"/>
    <w:rsid w:val="003F0ACE"/>
    <w:rsid w:val="003F6778"/>
    <w:rsid w:val="003F74F6"/>
    <w:rsid w:val="00400C48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A7262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868FF"/>
    <w:rsid w:val="00691164"/>
    <w:rsid w:val="00695935"/>
    <w:rsid w:val="00704FA3"/>
    <w:rsid w:val="007060C1"/>
    <w:rsid w:val="00711EEE"/>
    <w:rsid w:val="00722EC8"/>
    <w:rsid w:val="007339B3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1712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94003"/>
    <w:rsid w:val="009A3993"/>
    <w:rsid w:val="009A6208"/>
    <w:rsid w:val="009B1671"/>
    <w:rsid w:val="009D28B0"/>
    <w:rsid w:val="009E232E"/>
    <w:rsid w:val="009E75DA"/>
    <w:rsid w:val="009F142A"/>
    <w:rsid w:val="00A07148"/>
    <w:rsid w:val="00A348D6"/>
    <w:rsid w:val="00A46CDA"/>
    <w:rsid w:val="00A516B7"/>
    <w:rsid w:val="00A5276B"/>
    <w:rsid w:val="00A575B3"/>
    <w:rsid w:val="00A60206"/>
    <w:rsid w:val="00A62982"/>
    <w:rsid w:val="00A933D7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46B88"/>
    <w:rsid w:val="00C508D9"/>
    <w:rsid w:val="00C955EA"/>
    <w:rsid w:val="00CB09B1"/>
    <w:rsid w:val="00CB38B7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2539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9D2D"/>
  <w15:chartTrackingRefBased/>
  <w15:docId w15:val="{1CBF77D7-C070-4F47-80CA-73066296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80AF-59CA-4AD6-884C-17405384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2024-02-08T06:59:00Z</dcterms:created>
  <dcterms:modified xsi:type="dcterms:W3CDTF">2024-02-08T06:59:00Z</dcterms:modified>
</cp:coreProperties>
</file>